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27" w:rsidRPr="00927BA1" w:rsidRDefault="004F50B5">
      <w:pPr>
        <w:spacing w:after="116" w:line="265" w:lineRule="auto"/>
        <w:ind w:left="965" w:right="202" w:hanging="10"/>
        <w:rPr>
          <w:lang w:val="fr-CH"/>
        </w:rPr>
      </w:pPr>
      <w:bookmarkStart w:id="0" w:name="_GoBack"/>
      <w:bookmarkEnd w:id="0"/>
      <w:r>
        <w:rPr>
          <w:noProof/>
        </w:rPr>
        <w:drawing>
          <wp:anchor distT="0" distB="0" distL="114300" distR="114300" simplePos="0" relativeHeight="251658240" behindDoc="0" locked="0" layoutInCell="1" allowOverlap="0">
            <wp:simplePos x="0" y="0"/>
            <wp:positionH relativeFrom="column">
              <wp:posOffset>2953909</wp:posOffset>
            </wp:positionH>
            <wp:positionV relativeFrom="paragraph">
              <wp:posOffset>-56871</wp:posOffset>
            </wp:positionV>
            <wp:extent cx="3584930" cy="1197978"/>
            <wp:effectExtent l="0" t="0" r="0" b="0"/>
            <wp:wrapSquare wrapText="bothSides"/>
            <wp:docPr id="12368" name="Picture 12368"/>
            <wp:cNvGraphicFramePr/>
            <a:graphic xmlns:a="http://schemas.openxmlformats.org/drawingml/2006/main">
              <a:graphicData uri="http://schemas.openxmlformats.org/drawingml/2006/picture">
                <pic:pic xmlns:pic="http://schemas.openxmlformats.org/drawingml/2006/picture">
                  <pic:nvPicPr>
                    <pic:cNvPr id="12368" name="Picture 12368"/>
                    <pic:cNvPicPr/>
                  </pic:nvPicPr>
                  <pic:blipFill>
                    <a:blip r:embed="rId5"/>
                    <a:stretch>
                      <a:fillRect/>
                    </a:stretch>
                  </pic:blipFill>
                  <pic:spPr>
                    <a:xfrm>
                      <a:off x="0" y="0"/>
                      <a:ext cx="3584930" cy="119797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-9144</wp:posOffset>
            </wp:positionH>
            <wp:positionV relativeFrom="paragraph">
              <wp:posOffset>418661</wp:posOffset>
            </wp:positionV>
            <wp:extent cx="1063895" cy="27435"/>
            <wp:effectExtent l="0" t="0" r="0" b="0"/>
            <wp:wrapSquare wrapText="bothSides"/>
            <wp:docPr id="2329" name="Picture 2329"/>
            <wp:cNvGraphicFramePr/>
            <a:graphic xmlns:a="http://schemas.openxmlformats.org/drawingml/2006/main">
              <a:graphicData uri="http://schemas.openxmlformats.org/drawingml/2006/picture">
                <pic:pic xmlns:pic="http://schemas.openxmlformats.org/drawingml/2006/picture">
                  <pic:nvPicPr>
                    <pic:cNvPr id="2329" name="Picture 2329"/>
                    <pic:cNvPicPr/>
                  </pic:nvPicPr>
                  <pic:blipFill>
                    <a:blip r:embed="rId6"/>
                    <a:stretch>
                      <a:fillRect/>
                    </a:stretch>
                  </pic:blipFill>
                  <pic:spPr>
                    <a:xfrm>
                      <a:off x="0" y="0"/>
                      <a:ext cx="1063895" cy="27435"/>
                    </a:xfrm>
                    <a:prstGeom prst="rect">
                      <a:avLst/>
                    </a:prstGeom>
                  </pic:spPr>
                </pic:pic>
              </a:graphicData>
            </a:graphic>
          </wp:anchor>
        </w:drawing>
      </w:r>
      <w:r w:rsidRPr="00927BA1">
        <w:rPr>
          <w:sz w:val="20"/>
          <w:lang w:val="fr-CH"/>
        </w:rPr>
        <w:t>ROYAUME DU MAROC</w:t>
      </w:r>
    </w:p>
    <w:p w:rsidR="00F37C27" w:rsidRPr="00927BA1" w:rsidRDefault="004F50B5">
      <w:pPr>
        <w:spacing w:after="129" w:line="265" w:lineRule="auto"/>
        <w:ind w:left="-5" w:right="202" w:hanging="10"/>
        <w:rPr>
          <w:lang w:val="fr-CH"/>
        </w:rPr>
      </w:pPr>
      <w:r w:rsidRPr="00927BA1">
        <w:rPr>
          <w:sz w:val="18"/>
          <w:lang w:val="fr-CH"/>
        </w:rPr>
        <w:t>Office Nationat de l'EEectnaté e</w:t>
      </w:r>
      <w:r w:rsidRPr="00927BA1">
        <w:rPr>
          <w:sz w:val="18"/>
          <w:vertAlign w:val="superscript"/>
          <w:lang w:val="fr-CH"/>
        </w:rPr>
        <w:t>t</w:t>
      </w:r>
      <w:r w:rsidRPr="00927BA1">
        <w:rPr>
          <w:sz w:val="18"/>
          <w:lang w:val="fr-CH"/>
        </w:rPr>
        <w:t>. de fEau Potable</w:t>
      </w:r>
    </w:p>
    <w:p w:rsidR="00F37C27" w:rsidRPr="00927BA1" w:rsidRDefault="004F50B5">
      <w:pPr>
        <w:spacing w:before="247" w:after="884" w:line="265" w:lineRule="auto"/>
        <w:ind w:left="1311" w:right="202" w:hanging="10"/>
        <w:rPr>
          <w:lang w:val="fr-CH"/>
        </w:rPr>
      </w:pPr>
      <w:r w:rsidRPr="00927BA1">
        <w:rPr>
          <w:sz w:val="20"/>
          <w:lang w:val="fr-CH"/>
        </w:rPr>
        <w:t>Branche Eau</w:t>
      </w:r>
    </w:p>
    <w:p w:rsidR="00F37C27" w:rsidRPr="00927BA1" w:rsidRDefault="004F50B5">
      <w:pPr>
        <w:spacing w:after="532" w:line="251" w:lineRule="auto"/>
        <w:ind w:left="4966" w:right="641"/>
        <w:jc w:val="center"/>
        <w:rPr>
          <w:lang w:val="fr-CH"/>
        </w:rPr>
      </w:pPr>
      <w:r w:rsidRPr="00927BA1">
        <w:rPr>
          <w:sz w:val="24"/>
          <w:lang w:val="fr-CH"/>
        </w:rPr>
        <w:t>Monsieur l'Attaché Commercial de l'Ambassade de la République Suisse</w:t>
      </w:r>
    </w:p>
    <w:p w:rsidR="00F37C27" w:rsidRPr="00927BA1" w:rsidRDefault="004F50B5">
      <w:pPr>
        <w:spacing w:after="397"/>
        <w:ind w:left="6255"/>
        <w:rPr>
          <w:lang w:val="fr-CH"/>
        </w:rPr>
      </w:pPr>
      <w:r w:rsidRPr="00927BA1">
        <w:rPr>
          <w:sz w:val="26"/>
          <w:lang w:val="fr-CH"/>
        </w:rPr>
        <w:t>Square Berkane - RABAT</w:t>
      </w:r>
    </w:p>
    <w:p w:rsidR="00F37C27" w:rsidRPr="00927BA1" w:rsidRDefault="004F50B5">
      <w:pPr>
        <w:spacing w:after="0"/>
        <w:ind w:left="1056"/>
        <w:rPr>
          <w:lang w:val="fr-CH"/>
        </w:rPr>
      </w:pPr>
      <w:r w:rsidRPr="00927BA1">
        <w:rPr>
          <w:sz w:val="54"/>
          <w:lang w:val="fr-CH"/>
        </w:rPr>
        <w:t>2 / 3 6 40</w:t>
      </w:r>
    </w:p>
    <w:p w:rsidR="00F37C27" w:rsidRPr="00927BA1" w:rsidRDefault="004F50B5">
      <w:pPr>
        <w:spacing w:after="733" w:line="265" w:lineRule="auto"/>
        <w:ind w:left="643" w:right="638" w:hanging="10"/>
        <w:jc w:val="both"/>
        <w:rPr>
          <w:lang w:val="fr-CH"/>
        </w:rPr>
      </w:pPr>
      <w:r>
        <w:rPr>
          <w:noProof/>
        </w:rPr>
        <w:drawing>
          <wp:inline distT="0" distB="0" distL="0" distR="0">
            <wp:extent cx="1063895" cy="134125"/>
            <wp:effectExtent l="0" t="0" r="0" b="0"/>
            <wp:docPr id="2331" name="Picture 2331"/>
            <wp:cNvGraphicFramePr/>
            <a:graphic xmlns:a="http://schemas.openxmlformats.org/drawingml/2006/main">
              <a:graphicData uri="http://schemas.openxmlformats.org/drawingml/2006/picture">
                <pic:pic xmlns:pic="http://schemas.openxmlformats.org/drawingml/2006/picture">
                  <pic:nvPicPr>
                    <pic:cNvPr id="2331" name="Picture 2331"/>
                    <pic:cNvPicPr/>
                  </pic:nvPicPr>
                  <pic:blipFill>
                    <a:blip r:embed="rId7"/>
                    <a:stretch>
                      <a:fillRect/>
                    </a:stretch>
                  </pic:blipFill>
                  <pic:spPr>
                    <a:xfrm>
                      <a:off x="0" y="0"/>
                      <a:ext cx="1063895" cy="134125"/>
                    </a:xfrm>
                    <a:prstGeom prst="rect">
                      <a:avLst/>
                    </a:prstGeom>
                  </pic:spPr>
                </pic:pic>
              </a:graphicData>
            </a:graphic>
          </wp:inline>
        </w:drawing>
      </w:r>
      <w:r w:rsidRPr="00927BA1">
        <w:rPr>
          <w:sz w:val="24"/>
          <w:lang w:val="fr-CH"/>
        </w:rPr>
        <w:t>/DAM/EE/2018</w:t>
      </w:r>
    </w:p>
    <w:p w:rsidR="00F37C27" w:rsidRPr="00927BA1" w:rsidRDefault="004F50B5">
      <w:pPr>
        <w:spacing w:after="0" w:line="367" w:lineRule="auto"/>
        <w:ind w:left="2246" w:right="638" w:hanging="1613"/>
        <w:jc w:val="both"/>
        <w:rPr>
          <w:lang w:val="fr-CH"/>
        </w:rPr>
      </w:pPr>
      <w:r w:rsidRPr="00927BA1">
        <w:rPr>
          <w:sz w:val="24"/>
          <w:u w:val="single" w:color="000000"/>
          <w:lang w:val="fr-CH"/>
        </w:rPr>
        <w:t>OBJET :</w:t>
      </w:r>
      <w:r w:rsidRPr="00927BA1">
        <w:rPr>
          <w:sz w:val="24"/>
          <w:u w:val="single" w:color="000000"/>
          <w:lang w:val="fr-CH"/>
        </w:rPr>
        <w:tab/>
      </w:r>
      <w:r w:rsidRPr="00927BA1">
        <w:rPr>
          <w:sz w:val="24"/>
          <w:lang w:val="fr-CH"/>
        </w:rPr>
        <w:t>Projet de sous-traitance à risque commercial du service d'eau potable en milieu rural</w:t>
      </w:r>
    </w:p>
    <w:p w:rsidR="00F37C27" w:rsidRPr="00927BA1" w:rsidRDefault="004F50B5">
      <w:pPr>
        <w:spacing w:after="1005" w:line="265" w:lineRule="auto"/>
        <w:ind w:left="2242" w:right="638" w:hanging="10"/>
        <w:jc w:val="both"/>
        <w:rPr>
          <w:lang w:val="fr-CH"/>
        </w:rPr>
      </w:pPr>
      <w:r w:rsidRPr="00927BA1">
        <w:rPr>
          <w:sz w:val="24"/>
          <w:lang w:val="fr-CH"/>
        </w:rPr>
        <w:t>Avis Général de Passation de Marchés</w:t>
      </w:r>
    </w:p>
    <w:p w:rsidR="00F37C27" w:rsidRPr="00927BA1" w:rsidRDefault="004F50B5">
      <w:pPr>
        <w:spacing w:after="318" w:line="265" w:lineRule="auto"/>
        <w:ind w:left="643" w:right="638" w:hanging="10"/>
        <w:jc w:val="both"/>
        <w:rPr>
          <w:lang w:val="fr-CH"/>
        </w:rPr>
      </w:pPr>
      <w:r w:rsidRPr="00927BA1">
        <w:rPr>
          <w:sz w:val="24"/>
          <w:lang w:val="fr-CH"/>
        </w:rPr>
        <w:t>Monsieur,</w:t>
      </w:r>
    </w:p>
    <w:p w:rsidR="00F37C27" w:rsidRPr="00927BA1" w:rsidRDefault="004F50B5">
      <w:pPr>
        <w:spacing w:after="568" w:line="265" w:lineRule="auto"/>
        <w:ind w:left="643" w:right="638" w:hanging="10"/>
        <w:jc w:val="both"/>
        <w:rPr>
          <w:lang w:val="fr-CH"/>
        </w:rPr>
      </w:pPr>
      <w:r w:rsidRPr="00927BA1">
        <w:rPr>
          <w:sz w:val="24"/>
          <w:lang w:val="fr-CH"/>
        </w:rPr>
        <w:t>Afin de permettre aux entreprises de votre pays de prendre connaissance de la consultation internationale citée en objet, j'ai l'honneur de vous demander de bien vouloir assurer une large diffusion de l'avis ci - joint.</w:t>
      </w:r>
    </w:p>
    <w:p w:rsidR="00F37C27" w:rsidRPr="00927BA1" w:rsidRDefault="004F50B5">
      <w:pPr>
        <w:spacing w:after="733" w:line="265" w:lineRule="auto"/>
        <w:ind w:left="643" w:right="638" w:hanging="10"/>
        <w:jc w:val="both"/>
        <w:rPr>
          <w:lang w:val="fr-CH"/>
        </w:rPr>
      </w:pPr>
      <w:r w:rsidRPr="00927BA1">
        <w:rPr>
          <w:sz w:val="24"/>
          <w:lang w:val="fr-CH"/>
        </w:rPr>
        <w:t>Veuillez agréer, Monsieur, l'assuran</w:t>
      </w:r>
      <w:r w:rsidRPr="00927BA1">
        <w:rPr>
          <w:sz w:val="24"/>
          <w:lang w:val="fr-CH"/>
        </w:rPr>
        <w:t>ce de mes considérations distinguées</w:t>
      </w:r>
    </w:p>
    <w:p w:rsidR="00F37C27" w:rsidRDefault="004F50B5">
      <w:pPr>
        <w:spacing w:after="748"/>
        <w:ind w:left="864"/>
      </w:pPr>
      <w:r>
        <w:rPr>
          <w:noProof/>
        </w:rPr>
        <mc:AlternateContent>
          <mc:Choice Requires="wpg">
            <w:drawing>
              <wp:inline distT="0" distB="0" distL="0" distR="0">
                <wp:extent cx="4889649" cy="1420503"/>
                <wp:effectExtent l="0" t="0" r="0" b="0"/>
                <wp:docPr id="12365" name="Group 12365"/>
                <wp:cNvGraphicFramePr/>
                <a:graphic xmlns:a="http://schemas.openxmlformats.org/drawingml/2006/main">
                  <a:graphicData uri="http://schemas.microsoft.com/office/word/2010/wordprocessingGroup">
                    <wpg:wgp>
                      <wpg:cNvGrpSpPr/>
                      <wpg:grpSpPr>
                        <a:xfrm>
                          <a:off x="0" y="0"/>
                          <a:ext cx="4889649" cy="1420503"/>
                          <a:chOff x="0" y="0"/>
                          <a:chExt cx="4889649" cy="1420503"/>
                        </a:xfrm>
                      </wpg:grpSpPr>
                      <pic:pic xmlns:pic="http://schemas.openxmlformats.org/drawingml/2006/picture">
                        <pic:nvPicPr>
                          <pic:cNvPr id="12370" name="Picture 12370"/>
                          <pic:cNvPicPr/>
                        </pic:nvPicPr>
                        <pic:blipFill>
                          <a:blip r:embed="rId8"/>
                          <a:stretch>
                            <a:fillRect/>
                          </a:stretch>
                        </pic:blipFill>
                        <pic:spPr>
                          <a:xfrm>
                            <a:off x="0" y="0"/>
                            <a:ext cx="4737228" cy="1420503"/>
                          </a:xfrm>
                          <a:prstGeom prst="rect">
                            <a:avLst/>
                          </a:prstGeom>
                        </pic:spPr>
                      </pic:pic>
                      <wps:wsp>
                        <wps:cNvPr id="149" name="Rectangle 149"/>
                        <wps:cNvSpPr/>
                        <wps:spPr>
                          <a:xfrm>
                            <a:off x="4615292" y="496870"/>
                            <a:ext cx="364895" cy="178386"/>
                          </a:xfrm>
                          <a:prstGeom prst="rect">
                            <a:avLst/>
                          </a:prstGeom>
                          <a:ln>
                            <a:noFill/>
                          </a:ln>
                        </wps:spPr>
                        <wps:txbx>
                          <w:txbxContent>
                            <w:p w:rsidR="00F37C27" w:rsidRDefault="004F50B5">
                              <w:proofErr w:type="spellStart"/>
                              <w:r>
                                <w:rPr>
                                  <w:sz w:val="24"/>
                                </w:rPr>
                                <w:t>thats</w:t>
                              </w:r>
                              <w:proofErr w:type="spellEnd"/>
                            </w:p>
                          </w:txbxContent>
                        </wps:txbx>
                        <wps:bodyPr horzOverflow="overflow" vert="horz" lIns="0" tIns="0" rIns="0" bIns="0" rtlCol="0">
                          <a:noAutofit/>
                        </wps:bodyPr>
                      </wps:wsp>
                    </wpg:wgp>
                  </a:graphicData>
                </a:graphic>
              </wp:inline>
            </w:drawing>
          </mc:Choice>
          <mc:Fallback xmlns:a="http://schemas.openxmlformats.org/drawingml/2006/main">
            <w:pict>
              <v:group id="Group 12365" style="width:385.012pt;height:111.851pt;mso-position-horizontal-relative:char;mso-position-vertical-relative:line" coordsize="48896,14205">
                <v:shape id="Picture 12370" style="position:absolute;width:47372;height:14205;left:0;top:0;" filled="f">
                  <v:imagedata r:id="rId9"/>
                </v:shape>
                <v:rect id="Rectangle 149" style="position:absolute;width:3648;height:1783;left:46152;top:4968;" filled="f" stroked="f">
                  <v:textbox inset="0,0,0,0">
                    <w:txbxContent>
                      <w:p>
                        <w:pPr>
                          <w:spacing w:before="0" w:after="160" w:line="259" w:lineRule="auto"/>
                        </w:pPr>
                        <w:r>
                          <w:rPr>
                            <w:rFonts w:cs="Times New Roman" w:hAnsi="Times New Roman" w:eastAsia="Times New Roman" w:ascii="Times New Roman"/>
                            <w:sz w:val="24"/>
                          </w:rPr>
                          <w:t xml:space="preserve">thats</w:t>
                        </w:r>
                      </w:p>
                    </w:txbxContent>
                  </v:textbox>
                </v:rect>
              </v:group>
            </w:pict>
          </mc:Fallback>
        </mc:AlternateContent>
      </w:r>
    </w:p>
    <w:p w:rsidR="00F37C27" w:rsidRPr="00927BA1" w:rsidRDefault="004F50B5">
      <w:pPr>
        <w:spacing w:after="1123" w:line="265" w:lineRule="auto"/>
        <w:ind w:left="643" w:right="638" w:hanging="10"/>
        <w:jc w:val="both"/>
        <w:rPr>
          <w:lang w:val="fr-CH"/>
        </w:rPr>
      </w:pPr>
      <w:r w:rsidRPr="00927BA1">
        <w:rPr>
          <w:sz w:val="24"/>
          <w:u w:val="single" w:color="000000"/>
          <w:lang w:val="fr-CH"/>
        </w:rPr>
        <w:t xml:space="preserve">Pièces iointes : </w:t>
      </w:r>
      <w:r w:rsidRPr="00927BA1">
        <w:rPr>
          <w:sz w:val="24"/>
          <w:lang w:val="fr-CH"/>
        </w:rPr>
        <w:t>Avis à l'appel d'offres 02 pages)</w:t>
      </w:r>
    </w:p>
    <w:p w:rsidR="00F37C27" w:rsidRPr="00927BA1" w:rsidRDefault="004F50B5">
      <w:pPr>
        <w:spacing w:after="0"/>
        <w:ind w:left="91"/>
        <w:rPr>
          <w:lang w:val="en-US"/>
        </w:rPr>
      </w:pPr>
      <w:r w:rsidRPr="00927BA1">
        <w:rPr>
          <w:lang w:val="en-US"/>
        </w:rPr>
        <w:t xml:space="preserve">(212) 5 </w:t>
      </w:r>
      <w:r>
        <w:rPr>
          <w:noProof/>
        </w:rPr>
        <mc:AlternateContent>
          <mc:Choice Requires="wpg">
            <w:drawing>
              <wp:inline distT="0" distB="0" distL="0" distR="0">
                <wp:extent cx="6166932" cy="256056"/>
                <wp:effectExtent l="0" t="0" r="0" b="0"/>
                <wp:docPr id="11731" name="Group 11731"/>
                <wp:cNvGraphicFramePr/>
                <a:graphic xmlns:a="http://schemas.openxmlformats.org/drawingml/2006/main">
                  <a:graphicData uri="http://schemas.microsoft.com/office/word/2010/wordprocessingGroup">
                    <wpg:wgp>
                      <wpg:cNvGrpSpPr/>
                      <wpg:grpSpPr>
                        <a:xfrm>
                          <a:off x="0" y="0"/>
                          <a:ext cx="6166932" cy="256056"/>
                          <a:chOff x="0" y="0"/>
                          <a:chExt cx="6166932" cy="256056"/>
                        </a:xfrm>
                      </wpg:grpSpPr>
                      <pic:pic xmlns:pic="http://schemas.openxmlformats.org/drawingml/2006/picture">
                        <pic:nvPicPr>
                          <pic:cNvPr id="12371" name="Picture 12371"/>
                          <pic:cNvPicPr/>
                        </pic:nvPicPr>
                        <pic:blipFill>
                          <a:blip r:embed="rId10"/>
                          <a:stretch>
                            <a:fillRect/>
                          </a:stretch>
                        </pic:blipFill>
                        <pic:spPr>
                          <a:xfrm>
                            <a:off x="155469" y="0"/>
                            <a:ext cx="6011463" cy="256056"/>
                          </a:xfrm>
                          <a:prstGeom prst="rect">
                            <a:avLst/>
                          </a:prstGeom>
                        </pic:spPr>
                      </pic:pic>
                      <wps:wsp>
                        <wps:cNvPr id="184" name="Rectangle 184"/>
                        <wps:cNvSpPr/>
                        <wps:spPr>
                          <a:xfrm>
                            <a:off x="0" y="91448"/>
                            <a:ext cx="243263" cy="178386"/>
                          </a:xfrm>
                          <a:prstGeom prst="rect">
                            <a:avLst/>
                          </a:prstGeom>
                          <a:ln>
                            <a:noFill/>
                          </a:ln>
                        </wps:spPr>
                        <wps:txbx>
                          <w:txbxContent>
                            <w:p w:rsidR="00F37C27" w:rsidRDefault="004F50B5">
                              <w:r>
                                <w:rPr>
                                  <w:sz w:val="24"/>
                                </w:rPr>
                                <w:t xml:space="preserve">37 </w:t>
                              </w:r>
                            </w:p>
                          </w:txbxContent>
                        </wps:txbx>
                        <wps:bodyPr horzOverflow="overflow" vert="horz" lIns="0" tIns="0" rIns="0" bIns="0" rtlCol="0">
                          <a:noAutofit/>
                        </wps:bodyPr>
                      </wps:wsp>
                    </wpg:wgp>
                  </a:graphicData>
                </a:graphic>
              </wp:inline>
            </w:drawing>
          </mc:Choice>
          <mc:Fallback xmlns:a="http://schemas.openxmlformats.org/drawingml/2006/main">
            <w:pict>
              <v:group id="Group 11731" style="width:485.585pt;height:20.1619pt;mso-position-horizontal-relative:char;mso-position-vertical-relative:line" coordsize="61669,2560">
                <v:shape id="Picture 12371" style="position:absolute;width:60114;height:2560;left:1554;top:0;" filled="f">
                  <v:imagedata r:id="rId11"/>
                </v:shape>
                <v:rect id="Rectangle 184" style="position:absolute;width:2432;height:1783;left:0;top:914;" filled="f" stroked="f">
                  <v:textbox inset="0,0,0,0">
                    <w:txbxContent>
                      <w:p>
                        <w:pPr>
                          <w:spacing w:before="0" w:after="160" w:line="259" w:lineRule="auto"/>
                        </w:pPr>
                        <w:r>
                          <w:rPr>
                            <w:rFonts w:cs="Times New Roman" w:hAnsi="Times New Roman" w:eastAsia="Times New Roman" w:ascii="Times New Roman"/>
                            <w:sz w:val="24"/>
                          </w:rPr>
                          <w:t xml:space="preserve">37 </w:t>
                        </w:r>
                      </w:p>
                    </w:txbxContent>
                  </v:textbox>
                </v:rect>
              </v:group>
            </w:pict>
          </mc:Fallback>
        </mc:AlternateContent>
      </w:r>
    </w:p>
    <w:p w:rsidR="00F37C27" w:rsidRPr="00927BA1" w:rsidRDefault="004F50B5">
      <w:pPr>
        <w:tabs>
          <w:tab w:val="right" w:pos="10499"/>
        </w:tabs>
        <w:spacing w:after="129" w:line="265" w:lineRule="auto"/>
        <w:ind w:right="-15"/>
        <w:rPr>
          <w:lang w:val="en-US"/>
        </w:rPr>
      </w:pPr>
      <w:r w:rsidRPr="00927BA1">
        <w:rPr>
          <w:sz w:val="18"/>
          <w:lang w:val="en-US"/>
        </w:rPr>
        <w:lastRenderedPageBreak/>
        <w:t>Avenue Mohamed Belhas</w:t>
      </w:r>
      <w:r w:rsidRPr="00927BA1">
        <w:rPr>
          <w:sz w:val="18"/>
          <w:vertAlign w:val="superscript"/>
          <w:lang w:val="en-US"/>
        </w:rPr>
        <w:t>r</w:t>
      </w:r>
      <w:r w:rsidRPr="00927BA1">
        <w:rPr>
          <w:sz w:val="18"/>
          <w:lang w:val="en-US"/>
        </w:rPr>
        <w:t>an El Ouaz.?</w:t>
      </w:r>
      <w:proofErr w:type="gramStart"/>
      <w:r w:rsidRPr="00927BA1">
        <w:rPr>
          <w:sz w:val="18"/>
          <w:lang w:val="en-US"/>
        </w:rPr>
        <w:t>ðnl</w:t>
      </w:r>
      <w:proofErr w:type="gramEnd"/>
      <w:r w:rsidRPr="00927BA1">
        <w:rPr>
          <w:sz w:val="18"/>
          <w:lang w:val="en-US"/>
        </w:rPr>
        <w:t xml:space="preserve"> BP. Rabðt.Che\tah 10002 Rabat Maroc. - Tél: </w:t>
      </w:r>
      <w:r w:rsidRPr="00927BA1">
        <w:rPr>
          <w:sz w:val="18"/>
          <w:lang w:val="en-US"/>
        </w:rPr>
        <w:tab/>
        <w:t>5 37 75 96 00 • Fax: Q.1 2} 5 37 75 91 06</w:t>
      </w:r>
    </w:p>
    <w:p w:rsidR="00F37C27" w:rsidRPr="00927BA1" w:rsidRDefault="00F37C27">
      <w:pPr>
        <w:spacing w:after="0"/>
        <w:ind w:left="-706" w:right="5337"/>
        <w:rPr>
          <w:lang w:val="en-US"/>
        </w:rPr>
      </w:pPr>
    </w:p>
    <w:tbl>
      <w:tblPr>
        <w:tblStyle w:val="TableGrid"/>
        <w:tblW w:w="9072" w:type="dxa"/>
        <w:tblInd w:w="715" w:type="dxa"/>
        <w:tblCellMar>
          <w:top w:w="67" w:type="dxa"/>
          <w:left w:w="106" w:type="dxa"/>
          <w:bottom w:w="20" w:type="dxa"/>
          <w:right w:w="95" w:type="dxa"/>
        </w:tblCellMar>
        <w:tblLook w:val="04A0" w:firstRow="1" w:lastRow="0" w:firstColumn="1" w:lastColumn="0" w:noHBand="0" w:noVBand="1"/>
      </w:tblPr>
      <w:tblGrid>
        <w:gridCol w:w="1198"/>
        <w:gridCol w:w="6650"/>
        <w:gridCol w:w="1224"/>
      </w:tblGrid>
      <w:tr w:rsidR="00F37C27" w:rsidRPr="00927BA1">
        <w:trPr>
          <w:trHeight w:val="1805"/>
        </w:trPr>
        <w:tc>
          <w:tcPr>
            <w:tcW w:w="9072" w:type="dxa"/>
            <w:gridSpan w:val="3"/>
            <w:tcBorders>
              <w:top w:val="single" w:sz="2" w:space="0" w:color="000000"/>
              <w:left w:val="single" w:sz="2" w:space="0" w:color="000000"/>
              <w:bottom w:val="single" w:sz="2" w:space="0" w:color="000000"/>
              <w:right w:val="single" w:sz="2" w:space="0" w:color="000000"/>
            </w:tcBorders>
          </w:tcPr>
          <w:p w:rsidR="00F37C27" w:rsidRPr="00927BA1" w:rsidRDefault="004F50B5">
            <w:pPr>
              <w:spacing w:after="211"/>
              <w:ind w:right="28"/>
              <w:jc w:val="center"/>
              <w:rPr>
                <w:lang w:val="fr-CH"/>
              </w:rPr>
            </w:pPr>
            <w:r>
              <w:rPr>
                <w:noProof/>
              </w:rPr>
              <w:drawing>
                <wp:inline distT="0" distB="0" distL="0" distR="0">
                  <wp:extent cx="753735" cy="120310"/>
                  <wp:effectExtent l="0" t="0" r="0" b="0"/>
                  <wp:docPr id="4777" name="Picture 4777"/>
                  <wp:cNvGraphicFramePr/>
                  <a:graphic xmlns:a="http://schemas.openxmlformats.org/drawingml/2006/main">
                    <a:graphicData uri="http://schemas.openxmlformats.org/drawingml/2006/picture">
                      <pic:pic xmlns:pic="http://schemas.openxmlformats.org/drawingml/2006/picture">
                        <pic:nvPicPr>
                          <pic:cNvPr id="4777" name="Picture 4777"/>
                          <pic:cNvPicPr/>
                        </pic:nvPicPr>
                        <pic:blipFill>
                          <a:blip r:embed="rId12"/>
                          <a:stretch>
                            <a:fillRect/>
                          </a:stretch>
                        </pic:blipFill>
                        <pic:spPr>
                          <a:xfrm>
                            <a:off x="0" y="0"/>
                            <a:ext cx="753735" cy="120310"/>
                          </a:xfrm>
                          <a:prstGeom prst="rect">
                            <a:avLst/>
                          </a:prstGeom>
                        </pic:spPr>
                      </pic:pic>
                    </a:graphicData>
                  </a:graphic>
                </wp:inline>
              </w:drawing>
            </w:r>
            <w:r w:rsidRPr="00927BA1">
              <w:rPr>
                <w:sz w:val="30"/>
                <w:lang w:val="fr-CH"/>
              </w:rPr>
              <w:t>DU MAROC</w:t>
            </w:r>
          </w:p>
          <w:p w:rsidR="00F37C27" w:rsidRPr="00927BA1" w:rsidRDefault="004F50B5">
            <w:pPr>
              <w:spacing w:after="0"/>
              <w:jc w:val="center"/>
              <w:rPr>
                <w:lang w:val="fr-CH"/>
              </w:rPr>
            </w:pPr>
            <w:r w:rsidRPr="00927BA1">
              <w:rPr>
                <w:sz w:val="24"/>
                <w:lang w:val="fr-CH"/>
              </w:rPr>
              <w:t>OFFICE NATIONAL DE L'ÉLECTRICITÉ ET DE LŒAU POTABLE-BRANCHE EAU ONEE-BRANŒIE EAU</w:t>
            </w:r>
          </w:p>
        </w:tc>
      </w:tr>
      <w:tr w:rsidR="00F37C27" w:rsidRPr="00927BA1">
        <w:trPr>
          <w:trHeight w:val="671"/>
        </w:trPr>
        <w:tc>
          <w:tcPr>
            <w:tcW w:w="9072" w:type="dxa"/>
            <w:gridSpan w:val="3"/>
            <w:tcBorders>
              <w:top w:val="single" w:sz="2" w:space="0" w:color="000000"/>
              <w:left w:val="single" w:sz="2" w:space="0" w:color="000000"/>
              <w:bottom w:val="single" w:sz="2" w:space="0" w:color="000000"/>
              <w:right w:val="single" w:sz="2" w:space="0" w:color="000000"/>
            </w:tcBorders>
          </w:tcPr>
          <w:p w:rsidR="00F37C27" w:rsidRPr="00927BA1" w:rsidRDefault="004F50B5">
            <w:pPr>
              <w:tabs>
                <w:tab w:val="center" w:pos="3032"/>
                <w:tab w:val="center" w:pos="7632"/>
              </w:tabs>
              <w:spacing w:after="0"/>
              <w:rPr>
                <w:lang w:val="fr-CH"/>
              </w:rPr>
            </w:pPr>
            <w:r w:rsidRPr="00927BA1">
              <w:rPr>
                <w:sz w:val="26"/>
                <w:lang w:val="fr-CH"/>
              </w:rPr>
              <w:tab/>
            </w:r>
            <w:r w:rsidRPr="00927BA1">
              <w:rPr>
                <w:sz w:val="26"/>
                <w:lang w:val="fr-CH"/>
              </w:rPr>
              <w:t xml:space="preserve">Projet de sous-fraitance à risque commercial du service d'eau </w:t>
            </w:r>
            <w:r w:rsidRPr="00927BA1">
              <w:rPr>
                <w:sz w:val="26"/>
                <w:lang w:val="fr-CH"/>
              </w:rPr>
              <w:tab/>
              <w:t>en milieu rural</w:t>
            </w:r>
          </w:p>
        </w:tc>
      </w:tr>
      <w:tr w:rsidR="00F37C27" w:rsidRPr="00927BA1">
        <w:trPr>
          <w:trHeight w:val="345"/>
        </w:trPr>
        <w:tc>
          <w:tcPr>
            <w:tcW w:w="1198" w:type="dxa"/>
            <w:tcBorders>
              <w:top w:val="single" w:sz="2" w:space="0" w:color="000000"/>
              <w:left w:val="nil"/>
              <w:bottom w:val="single" w:sz="2" w:space="0" w:color="000000"/>
              <w:right w:val="single" w:sz="2" w:space="0" w:color="000000"/>
            </w:tcBorders>
          </w:tcPr>
          <w:p w:rsidR="00F37C27" w:rsidRPr="00927BA1" w:rsidRDefault="00F37C27">
            <w:pPr>
              <w:rPr>
                <w:lang w:val="fr-CH"/>
              </w:rPr>
            </w:pPr>
          </w:p>
        </w:tc>
        <w:tc>
          <w:tcPr>
            <w:tcW w:w="6650" w:type="dxa"/>
            <w:tcBorders>
              <w:top w:val="single" w:sz="2" w:space="0" w:color="000000"/>
              <w:left w:val="single" w:sz="2" w:space="0" w:color="000000"/>
              <w:bottom w:val="single" w:sz="2" w:space="0" w:color="000000"/>
              <w:right w:val="single" w:sz="2" w:space="0" w:color="000000"/>
            </w:tcBorders>
          </w:tcPr>
          <w:p w:rsidR="00F37C27" w:rsidRPr="00927BA1" w:rsidRDefault="004F50B5">
            <w:pPr>
              <w:spacing w:after="0"/>
              <w:ind w:right="8"/>
              <w:jc w:val="center"/>
              <w:rPr>
                <w:lang w:val="fr-CH"/>
              </w:rPr>
            </w:pPr>
            <w:r w:rsidRPr="00927BA1">
              <w:rPr>
                <w:sz w:val="28"/>
                <w:lang w:val="fr-CH"/>
              </w:rPr>
              <w:t>AVIS GENERAL DE PASSATION DE MARCHES</w:t>
            </w:r>
          </w:p>
        </w:tc>
        <w:tc>
          <w:tcPr>
            <w:tcW w:w="1224" w:type="dxa"/>
            <w:tcBorders>
              <w:top w:val="single" w:sz="2" w:space="0" w:color="000000"/>
              <w:left w:val="single" w:sz="2" w:space="0" w:color="000000"/>
              <w:bottom w:val="single" w:sz="2" w:space="0" w:color="000000"/>
              <w:right w:val="nil"/>
            </w:tcBorders>
          </w:tcPr>
          <w:p w:rsidR="00F37C27" w:rsidRPr="00927BA1" w:rsidRDefault="00F37C27">
            <w:pPr>
              <w:rPr>
                <w:lang w:val="fr-CH"/>
              </w:rPr>
            </w:pPr>
          </w:p>
        </w:tc>
      </w:tr>
      <w:tr w:rsidR="00F37C27" w:rsidRPr="00927BA1">
        <w:trPr>
          <w:trHeight w:val="8786"/>
        </w:trPr>
        <w:tc>
          <w:tcPr>
            <w:tcW w:w="9072" w:type="dxa"/>
            <w:gridSpan w:val="3"/>
            <w:tcBorders>
              <w:top w:val="single" w:sz="2" w:space="0" w:color="000000"/>
              <w:left w:val="single" w:sz="2" w:space="0" w:color="000000"/>
              <w:bottom w:val="single" w:sz="2" w:space="0" w:color="000000"/>
              <w:right w:val="single" w:sz="2" w:space="0" w:color="000000"/>
            </w:tcBorders>
            <w:vAlign w:val="bottom"/>
          </w:tcPr>
          <w:p w:rsidR="00F37C27" w:rsidRPr="00927BA1" w:rsidRDefault="004F50B5">
            <w:pPr>
              <w:spacing w:after="248"/>
              <w:ind w:right="45"/>
              <w:jc w:val="center"/>
              <w:rPr>
                <w:lang w:val="fr-CH"/>
              </w:rPr>
            </w:pPr>
            <w:r w:rsidRPr="00927BA1">
              <w:rPr>
                <w:sz w:val="26"/>
                <w:lang w:val="fr-CH"/>
              </w:rPr>
              <w:t>AVIS GENERAL DE PASSATION DES MARCHES</w:t>
            </w:r>
          </w:p>
          <w:p w:rsidR="00F37C27" w:rsidRPr="00927BA1" w:rsidRDefault="004F50B5">
            <w:pPr>
              <w:spacing w:after="263" w:line="258" w:lineRule="auto"/>
              <w:jc w:val="both"/>
              <w:rPr>
                <w:lang w:val="fr-CH"/>
              </w:rPr>
            </w:pPr>
            <w:r w:rsidRPr="00927BA1">
              <w:rPr>
                <w:sz w:val="24"/>
                <w:lang w:val="fr-CH"/>
              </w:rPr>
              <w:t>L'Office National de l'Electricité et de l'Eau potable (ONEE) Branche Eau a reçu de la Banque africaine de développement deux dons</w:t>
            </w:r>
          </w:p>
          <w:p w:rsidR="00F37C27" w:rsidRPr="00927BA1" w:rsidRDefault="004F50B5">
            <w:pPr>
              <w:spacing w:after="250" w:line="251" w:lineRule="auto"/>
              <w:ind w:left="6" w:right="2586"/>
              <w:rPr>
                <w:lang w:val="fr-CH"/>
              </w:rPr>
            </w:pPr>
            <w:r w:rsidRPr="00927BA1">
              <w:rPr>
                <w:sz w:val="24"/>
                <w:lang w:val="fr-CH"/>
              </w:rPr>
              <w:t>- Un don du Fonds d'Assistance au secteur Privé Africain (FAPA) - Un don de la Facilité Africaine de l'Eau (FAE).</w:t>
            </w:r>
          </w:p>
          <w:p w:rsidR="00F37C27" w:rsidRPr="00927BA1" w:rsidRDefault="004F50B5">
            <w:pPr>
              <w:spacing w:after="256" w:line="256" w:lineRule="auto"/>
              <w:ind w:left="12" w:right="11" w:hanging="6"/>
              <w:jc w:val="both"/>
              <w:rPr>
                <w:lang w:val="fr-CH"/>
              </w:rPr>
            </w:pPr>
            <w:r w:rsidRPr="00927BA1">
              <w:rPr>
                <w:sz w:val="24"/>
                <w:lang w:val="fr-CH"/>
              </w:rPr>
              <w:t>qui sont destinés au financement du projet pilote de sous-traitance avec risque commercial de l'alimentation en eau potable en milieu rural pour ses deux composantes 'services' et 'travaux'</w:t>
            </w:r>
          </w:p>
          <w:p w:rsidR="00F37C27" w:rsidRPr="00927BA1" w:rsidRDefault="004F50B5">
            <w:pPr>
              <w:spacing w:after="296" w:line="263" w:lineRule="auto"/>
              <w:ind w:left="6"/>
              <w:jc w:val="both"/>
              <w:rPr>
                <w:lang w:val="fr-CH"/>
              </w:rPr>
            </w:pPr>
            <w:r w:rsidRPr="00927BA1">
              <w:rPr>
                <w:sz w:val="24"/>
                <w:lang w:val="fr-CH"/>
              </w:rPr>
              <w:t>La composante 'services' du projet vise l'assistance technique à l</w:t>
            </w:r>
            <w:r w:rsidRPr="00927BA1">
              <w:rPr>
                <w:sz w:val="24"/>
                <w:lang w:val="fr-CH"/>
              </w:rPr>
              <w:t>'ONEE, et comporte les volets suivants</w:t>
            </w:r>
          </w:p>
          <w:p w:rsidR="00F37C27" w:rsidRPr="00927BA1" w:rsidRDefault="004F50B5">
            <w:pPr>
              <w:spacing w:after="0" w:line="244" w:lineRule="auto"/>
              <w:ind w:left="11" w:right="6" w:firstLine="22"/>
              <w:jc w:val="both"/>
              <w:rPr>
                <w:lang w:val="fr-CH"/>
              </w:rPr>
            </w:pPr>
            <w:r w:rsidRPr="00927BA1">
              <w:rPr>
                <w:sz w:val="24"/>
                <w:lang w:val="fr-CH"/>
              </w:rPr>
              <w:t>I. Assistance technique par bureau d</w:t>
            </w:r>
            <w:r w:rsidRPr="00927BA1">
              <w:rPr>
                <w:sz w:val="24"/>
                <w:vertAlign w:val="superscript"/>
                <w:lang w:val="fr-CH"/>
              </w:rPr>
              <w:t>t</w:t>
            </w:r>
            <w:r w:rsidRPr="00927BA1">
              <w:rPr>
                <w:sz w:val="24"/>
                <w:lang w:val="fr-CH"/>
              </w:rPr>
              <w:t>études pour la préparation de rappel d'offres et l'aide à la conclusion des contrats et raccompagnement de l'ONEE dans le démarrage et le suiviévaluation.</w:t>
            </w:r>
          </w:p>
          <w:p w:rsidR="00F37C27" w:rsidRPr="00927BA1" w:rsidRDefault="004F50B5">
            <w:pPr>
              <w:numPr>
                <w:ilvl w:val="0"/>
                <w:numId w:val="1"/>
              </w:numPr>
              <w:spacing w:after="0" w:line="216" w:lineRule="auto"/>
              <w:jc w:val="both"/>
              <w:rPr>
                <w:lang w:val="fr-CH"/>
              </w:rPr>
            </w:pPr>
            <w:r w:rsidRPr="00927BA1">
              <w:rPr>
                <w:sz w:val="24"/>
                <w:lang w:val="fr-CH"/>
              </w:rPr>
              <w:t xml:space="preserve">Assistance technique par </w:t>
            </w:r>
            <w:r w:rsidRPr="00927BA1">
              <w:rPr>
                <w:sz w:val="24"/>
                <w:lang w:val="fr-CH"/>
              </w:rPr>
              <w:t>bureau d'études pour audit technique à l'issue de la première année et de la 2ème année.</w:t>
            </w:r>
          </w:p>
          <w:p w:rsidR="00F37C27" w:rsidRPr="00927BA1" w:rsidRDefault="004F50B5">
            <w:pPr>
              <w:numPr>
                <w:ilvl w:val="0"/>
                <w:numId w:val="1"/>
              </w:numPr>
              <w:spacing w:after="0" w:line="255" w:lineRule="auto"/>
              <w:jc w:val="both"/>
              <w:rPr>
                <w:lang w:val="fr-CH"/>
              </w:rPr>
            </w:pPr>
            <w:r w:rsidRPr="00927BA1">
              <w:rPr>
                <w:sz w:val="24"/>
                <w:lang w:val="fr-CH"/>
              </w:rPr>
              <w:t>Assistance technique par bureau d'études pour l'évaluation du projet et l'accompagnement de l'ONEE dans le partage de l'expérience et l'identification de nouvelles opé</w:t>
            </w:r>
            <w:r w:rsidRPr="00927BA1">
              <w:rPr>
                <w:sz w:val="24"/>
                <w:lang w:val="fr-CH"/>
              </w:rPr>
              <w:t>rations.</w:t>
            </w:r>
          </w:p>
          <w:p w:rsidR="00F37C27" w:rsidRDefault="004F50B5">
            <w:pPr>
              <w:numPr>
                <w:ilvl w:val="0"/>
                <w:numId w:val="1"/>
              </w:numPr>
              <w:spacing w:after="232"/>
              <w:jc w:val="both"/>
            </w:pPr>
            <w:proofErr w:type="spellStart"/>
            <w:r>
              <w:rPr>
                <w:sz w:val="24"/>
              </w:rPr>
              <w:t>Réalisation</w:t>
            </w:r>
            <w:proofErr w:type="spellEnd"/>
            <w:r>
              <w:rPr>
                <w:sz w:val="24"/>
              </w:rPr>
              <w:t xml:space="preserve"> </w:t>
            </w:r>
            <w:proofErr w:type="spellStart"/>
            <w:r>
              <w:rPr>
                <w:sz w:val="24"/>
              </w:rPr>
              <w:t>d'un</w:t>
            </w:r>
            <w:proofErr w:type="spellEnd"/>
            <w:r>
              <w:rPr>
                <w:sz w:val="24"/>
              </w:rPr>
              <w:t xml:space="preserve"> film </w:t>
            </w:r>
            <w:proofErr w:type="spellStart"/>
            <w:r>
              <w:rPr>
                <w:sz w:val="24"/>
              </w:rPr>
              <w:t>documentaire</w:t>
            </w:r>
            <w:proofErr w:type="spellEnd"/>
            <w:r>
              <w:rPr>
                <w:sz w:val="24"/>
              </w:rPr>
              <w:t>.</w:t>
            </w:r>
          </w:p>
          <w:p w:rsidR="00F37C27" w:rsidRPr="00927BA1" w:rsidRDefault="004F50B5">
            <w:pPr>
              <w:spacing w:after="253" w:line="216" w:lineRule="auto"/>
              <w:ind w:left="28" w:hanging="17"/>
              <w:jc w:val="both"/>
              <w:rPr>
                <w:lang w:val="fr-CH"/>
              </w:rPr>
            </w:pPr>
            <w:r w:rsidRPr="00927BA1">
              <w:rPr>
                <w:sz w:val="24"/>
                <w:lang w:val="fr-CH"/>
              </w:rPr>
              <w:t>La méthode de sélection pour le volet I est basée sur les qualifications des consultants (SQC). Elle est basée sur la qualité et le cout (SBQC) pour les trois autres volets.</w:t>
            </w:r>
          </w:p>
          <w:p w:rsidR="00F37C27" w:rsidRPr="00927BA1" w:rsidRDefault="004F50B5">
            <w:pPr>
              <w:spacing w:after="253" w:line="257" w:lineRule="auto"/>
              <w:ind w:left="28"/>
              <w:jc w:val="both"/>
              <w:rPr>
                <w:lang w:val="fr-CH"/>
              </w:rPr>
            </w:pPr>
            <w:r w:rsidRPr="00927BA1">
              <w:rPr>
                <w:sz w:val="24"/>
                <w:lang w:val="fr-CH"/>
              </w:rPr>
              <w:t>La composante 'travaux' du proJet dont l'objet est la sous-traitance de la gestion à risque commercial du service d'eau potable en milieu rural, vise les principaux objectifs suivants</w:t>
            </w:r>
          </w:p>
          <w:p w:rsidR="00F37C27" w:rsidRPr="00927BA1" w:rsidRDefault="004F50B5">
            <w:pPr>
              <w:spacing w:after="0"/>
              <w:ind w:left="290"/>
              <w:rPr>
                <w:lang w:val="fr-CH"/>
              </w:rPr>
            </w:pPr>
            <w:r w:rsidRPr="00927BA1">
              <w:rPr>
                <w:sz w:val="24"/>
                <w:lang w:val="fr-CH"/>
              </w:rPr>
              <w:t>énéraliser l'alimentation en eau otable en milieu rural,</w:t>
            </w:r>
          </w:p>
        </w:tc>
      </w:tr>
    </w:tbl>
    <w:p w:rsidR="00F37C27" w:rsidRPr="00927BA1" w:rsidRDefault="00F37C27">
      <w:pPr>
        <w:spacing w:after="0"/>
        <w:ind w:left="-706" w:right="775"/>
        <w:rPr>
          <w:lang w:val="fr-CH"/>
        </w:rPr>
      </w:pPr>
    </w:p>
    <w:tbl>
      <w:tblPr>
        <w:tblStyle w:val="TableGrid"/>
        <w:tblW w:w="9064" w:type="dxa"/>
        <w:tblInd w:w="660" w:type="dxa"/>
        <w:tblCellMar>
          <w:top w:w="52" w:type="dxa"/>
          <w:left w:w="106" w:type="dxa"/>
          <w:bottom w:w="0" w:type="dxa"/>
          <w:right w:w="97" w:type="dxa"/>
        </w:tblCellMar>
        <w:tblLook w:val="04A0" w:firstRow="1" w:lastRow="0" w:firstColumn="1" w:lastColumn="0" w:noHBand="0" w:noVBand="1"/>
      </w:tblPr>
      <w:tblGrid>
        <w:gridCol w:w="9064"/>
      </w:tblGrid>
      <w:tr w:rsidR="00F37C27" w:rsidRPr="00927BA1">
        <w:trPr>
          <w:trHeight w:val="7611"/>
        </w:trPr>
        <w:tc>
          <w:tcPr>
            <w:tcW w:w="9064" w:type="dxa"/>
            <w:tcBorders>
              <w:top w:val="single" w:sz="2" w:space="0" w:color="000000"/>
              <w:left w:val="single" w:sz="2" w:space="0" w:color="000000"/>
              <w:bottom w:val="single" w:sz="2" w:space="0" w:color="000000"/>
              <w:right w:val="single" w:sz="2" w:space="0" w:color="000000"/>
            </w:tcBorders>
          </w:tcPr>
          <w:p w:rsidR="00F37C27" w:rsidRPr="00927BA1" w:rsidRDefault="004F50B5">
            <w:pPr>
              <w:numPr>
                <w:ilvl w:val="0"/>
                <w:numId w:val="2"/>
              </w:numPr>
              <w:spacing w:after="255" w:line="239" w:lineRule="auto"/>
              <w:ind w:right="24" w:hanging="189"/>
              <w:jc w:val="both"/>
              <w:rPr>
                <w:lang w:val="fr-CH"/>
              </w:rPr>
            </w:pPr>
            <w:r w:rsidRPr="00927BA1">
              <w:rPr>
                <w:sz w:val="24"/>
                <w:lang w:val="fr-CH"/>
              </w:rPr>
              <w:lastRenderedPageBreak/>
              <w:t>accompagner l</w:t>
            </w:r>
            <w:r w:rsidRPr="00927BA1">
              <w:rPr>
                <w:sz w:val="24"/>
                <w:lang w:val="fr-CH"/>
              </w:rPr>
              <w:t>'évolution de la demande de desserte des douars par branchements individuels, et améliorer la gestion des installations de production, d'adductions et de distribution de l'eau potable.</w:t>
            </w:r>
          </w:p>
          <w:p w:rsidR="00F37C27" w:rsidRPr="00927BA1" w:rsidRDefault="004F50B5">
            <w:pPr>
              <w:spacing w:after="216"/>
              <w:rPr>
                <w:lang w:val="fr-CH"/>
              </w:rPr>
            </w:pPr>
            <w:r w:rsidRPr="00927BA1">
              <w:rPr>
                <w:sz w:val="24"/>
                <w:lang w:val="fr-CH"/>
              </w:rPr>
              <w:t>Elle fera l'objet d'un seul appel d'offres, composé de deux lots distin</w:t>
            </w:r>
            <w:r w:rsidRPr="00927BA1">
              <w:rPr>
                <w:sz w:val="24"/>
                <w:lang w:val="fr-CH"/>
              </w:rPr>
              <w:t>cts que sont :</w:t>
            </w:r>
          </w:p>
          <w:p w:rsidR="00F37C27" w:rsidRPr="00927BA1" w:rsidRDefault="004F50B5">
            <w:pPr>
              <w:numPr>
                <w:ilvl w:val="0"/>
                <w:numId w:val="2"/>
              </w:numPr>
              <w:spacing w:after="0" w:line="263" w:lineRule="auto"/>
              <w:ind w:right="24" w:hanging="189"/>
              <w:jc w:val="both"/>
              <w:rPr>
                <w:lang w:val="fr-CH"/>
              </w:rPr>
            </w:pPr>
            <w:r w:rsidRPr="00927BA1">
              <w:rPr>
                <w:sz w:val="24"/>
                <w:lang w:val="fr-CH"/>
              </w:rPr>
              <w:t xml:space="preserve">Lot 1 : opération « Safi Ouest » </w:t>
            </w:r>
            <w:r>
              <w:rPr>
                <w:noProof/>
              </w:rPr>
              <w:drawing>
                <wp:inline distT="0" distB="0" distL="0" distR="0">
                  <wp:extent cx="810986" cy="115813"/>
                  <wp:effectExtent l="0" t="0" r="0" b="0"/>
                  <wp:docPr id="6875" name="Picture 6875"/>
                  <wp:cNvGraphicFramePr/>
                  <a:graphic xmlns:a="http://schemas.openxmlformats.org/drawingml/2006/main">
                    <a:graphicData uri="http://schemas.openxmlformats.org/drawingml/2006/picture">
                      <pic:pic xmlns:pic="http://schemas.openxmlformats.org/drawingml/2006/picture">
                        <pic:nvPicPr>
                          <pic:cNvPr id="6875" name="Picture 6875"/>
                          <pic:cNvPicPr/>
                        </pic:nvPicPr>
                        <pic:blipFill>
                          <a:blip r:embed="rId13"/>
                          <a:stretch>
                            <a:fillRect/>
                          </a:stretch>
                        </pic:blipFill>
                        <pic:spPr>
                          <a:xfrm>
                            <a:off x="0" y="0"/>
                            <a:ext cx="810986" cy="115813"/>
                          </a:xfrm>
                          <a:prstGeom prst="rect">
                            <a:avLst/>
                          </a:prstGeom>
                        </pic:spPr>
                      </pic:pic>
                    </a:graphicData>
                  </a:graphic>
                </wp:inline>
              </w:drawing>
            </w:r>
            <w:r w:rsidRPr="00927BA1">
              <w:rPr>
                <w:sz w:val="24"/>
                <w:lang w:val="fr-CH"/>
              </w:rPr>
              <w:t xml:space="preserve"> de la gestion des installations de production, d'adduction et de distribution de l'eau potable, ainsi que le développement du service par branchements individuels.</w:t>
            </w:r>
          </w:p>
          <w:p w:rsidR="00F37C27" w:rsidRPr="00927BA1" w:rsidRDefault="004F50B5">
            <w:pPr>
              <w:numPr>
                <w:ilvl w:val="0"/>
                <w:numId w:val="2"/>
              </w:numPr>
              <w:spacing w:after="221" w:line="243" w:lineRule="auto"/>
              <w:ind w:right="24" w:hanging="189"/>
              <w:jc w:val="both"/>
              <w:rPr>
                <w:lang w:val="fr-CH"/>
              </w:rPr>
            </w:pPr>
            <w:r w:rsidRPr="00927BA1">
              <w:rPr>
                <w:sz w:val="24"/>
                <w:lang w:val="fr-CH"/>
              </w:rPr>
              <w:t xml:space="preserve">Lot 2 : opération « El Borouj » de sous-traitance de la gestion des installations de production, d'adduction et de distribution de l'eau potable ainsi que le développement du service par branchements individuels, et la gestion du système de collecte et de </w:t>
            </w:r>
            <w:r w:rsidRPr="00927BA1">
              <w:rPr>
                <w:sz w:val="24"/>
                <w:lang w:val="fr-CH"/>
              </w:rPr>
              <w:t>traitement d'assainissement liquide de la ville d'El Borouj.</w:t>
            </w:r>
          </w:p>
          <w:p w:rsidR="00F37C27" w:rsidRPr="00927BA1" w:rsidRDefault="004F50B5">
            <w:pPr>
              <w:spacing w:after="268" w:line="244" w:lineRule="auto"/>
              <w:ind w:left="12" w:right="12"/>
              <w:jc w:val="both"/>
              <w:rPr>
                <w:lang w:val="fr-CH"/>
              </w:rPr>
            </w:pPr>
            <w:r w:rsidRPr="00927BA1">
              <w:rPr>
                <w:sz w:val="24"/>
                <w:lang w:val="fr-CH"/>
              </w:rPr>
              <w:t xml:space="preserve">L'acquisition des biens et /ou travaux se fera conformément aux Règles et procédures de la Banque en matière d'acquisition des biens et travaux. L'acquisition des services de consultants se fera </w:t>
            </w:r>
            <w:r w:rsidRPr="00927BA1">
              <w:rPr>
                <w:sz w:val="24"/>
                <w:lang w:val="fr-CH"/>
              </w:rPr>
              <w:t>conformément aux Règles et procédures de la Banque Africaine de Développement en matière d'utilisation des consultants. Les dossiers d'appel d'offres devraient être disponibles en MAI 2018.</w:t>
            </w:r>
          </w:p>
          <w:p w:rsidR="00F37C27" w:rsidRPr="00927BA1" w:rsidRDefault="004F50B5">
            <w:pPr>
              <w:spacing w:after="0" w:line="238" w:lineRule="auto"/>
              <w:ind w:left="24" w:hanging="6"/>
              <w:jc w:val="both"/>
              <w:rPr>
                <w:lang w:val="fr-CH"/>
              </w:rPr>
            </w:pPr>
            <w:r w:rsidRPr="00927BA1">
              <w:rPr>
                <w:sz w:val="24"/>
                <w:lang w:val="fr-CH"/>
              </w:rPr>
              <w:t>Les soumissionnaires intéressés peuvent obtenir des informations c</w:t>
            </w:r>
            <w:r w:rsidRPr="00927BA1">
              <w:rPr>
                <w:sz w:val="24"/>
                <w:lang w:val="fr-CH"/>
              </w:rPr>
              <w:t>omplémentaires et devraient confirmer leur intention, à l'adresse suivante .</w:t>
            </w:r>
          </w:p>
          <w:p w:rsidR="00F37C27" w:rsidRDefault="004F50B5">
            <w:pPr>
              <w:spacing w:after="145"/>
              <w:ind w:left="560"/>
            </w:pPr>
            <w:r>
              <w:rPr>
                <w:noProof/>
              </w:rPr>
              <w:drawing>
                <wp:inline distT="0" distB="0" distL="0" distR="0">
                  <wp:extent cx="38618" cy="54046"/>
                  <wp:effectExtent l="0" t="0" r="0" b="0"/>
                  <wp:docPr id="6851" name="Picture 6851"/>
                  <wp:cNvGraphicFramePr/>
                  <a:graphic xmlns:a="http://schemas.openxmlformats.org/drawingml/2006/main">
                    <a:graphicData uri="http://schemas.openxmlformats.org/drawingml/2006/picture">
                      <pic:pic xmlns:pic="http://schemas.openxmlformats.org/drawingml/2006/picture">
                        <pic:nvPicPr>
                          <pic:cNvPr id="6851" name="Picture 6851"/>
                          <pic:cNvPicPr/>
                        </pic:nvPicPr>
                        <pic:blipFill>
                          <a:blip r:embed="rId14"/>
                          <a:stretch>
                            <a:fillRect/>
                          </a:stretch>
                        </pic:blipFill>
                        <pic:spPr>
                          <a:xfrm>
                            <a:off x="0" y="0"/>
                            <a:ext cx="38618" cy="54046"/>
                          </a:xfrm>
                          <a:prstGeom prst="rect">
                            <a:avLst/>
                          </a:prstGeom>
                        </pic:spPr>
                      </pic:pic>
                    </a:graphicData>
                  </a:graphic>
                </wp:inline>
              </w:drawing>
            </w:r>
          </w:p>
          <w:p w:rsidR="00F37C27" w:rsidRPr="00927BA1" w:rsidRDefault="004F50B5">
            <w:pPr>
              <w:spacing w:after="5" w:line="236" w:lineRule="auto"/>
              <w:ind w:left="2713" w:right="444" w:hanging="1405"/>
              <w:jc w:val="both"/>
              <w:rPr>
                <w:lang w:val="fr-CH"/>
              </w:rPr>
            </w:pPr>
            <w:r w:rsidRPr="00927BA1">
              <w:rPr>
                <w:sz w:val="26"/>
                <w:lang w:val="fr-CH"/>
              </w:rPr>
              <w:t>Office national de l'électricité et de l'eau potable — Branche eau Division achats projets eau potable</w:t>
            </w:r>
          </w:p>
          <w:p w:rsidR="00F37C27" w:rsidRPr="00927BA1" w:rsidRDefault="004F50B5">
            <w:pPr>
              <w:spacing w:after="0"/>
              <w:ind w:left="36"/>
              <w:jc w:val="center"/>
              <w:rPr>
                <w:lang w:val="fr-CH"/>
              </w:rPr>
            </w:pPr>
            <w:r w:rsidRPr="00927BA1">
              <w:rPr>
                <w:sz w:val="26"/>
                <w:lang w:val="fr-CH"/>
              </w:rPr>
              <w:t>Bâtiment G, station de traitement, avenue Mohamed Belhassan El Ouanani</w:t>
            </w:r>
          </w:p>
          <w:p w:rsidR="00F37C27" w:rsidRPr="00927BA1" w:rsidRDefault="004F50B5">
            <w:pPr>
              <w:spacing w:after="0"/>
              <w:ind w:left="55"/>
              <w:jc w:val="center"/>
              <w:rPr>
                <w:lang w:val="fr-CH"/>
              </w:rPr>
            </w:pPr>
            <w:r w:rsidRPr="00927BA1">
              <w:rPr>
                <w:sz w:val="24"/>
                <w:lang w:val="fr-CH"/>
              </w:rPr>
              <w:t>Code postal 10220 - RABAT - Maroc</w:t>
            </w:r>
          </w:p>
          <w:p w:rsidR="00F37C27" w:rsidRPr="00927BA1" w:rsidRDefault="004F50B5">
            <w:pPr>
              <w:spacing w:after="0"/>
              <w:ind w:left="36"/>
              <w:jc w:val="center"/>
              <w:rPr>
                <w:lang w:val="fr-CH"/>
              </w:rPr>
            </w:pPr>
            <w:r w:rsidRPr="00927BA1">
              <w:rPr>
                <w:sz w:val="24"/>
                <w:lang w:val="fr-CH"/>
              </w:rPr>
              <w:t>Tel : +212 537 66 77 77 - Fax : +212 537 66 72 22</w:t>
            </w:r>
          </w:p>
        </w:tc>
      </w:tr>
    </w:tbl>
    <w:p w:rsidR="004F50B5" w:rsidRPr="00927BA1" w:rsidRDefault="004F50B5">
      <w:pPr>
        <w:rPr>
          <w:lang w:val="fr-CH"/>
        </w:rPr>
      </w:pPr>
    </w:p>
    <w:sectPr w:rsidR="004F50B5" w:rsidRPr="00927BA1">
      <w:pgSz w:w="11920" w:h="16840"/>
      <w:pgMar w:top="670" w:right="715" w:bottom="385"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2ED7"/>
    <w:multiLevelType w:val="hybridMultilevel"/>
    <w:tmpl w:val="3F505D12"/>
    <w:lvl w:ilvl="0" w:tplc="E43EE1DA">
      <w:start w:val="2"/>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325040">
      <w:start w:val="1"/>
      <w:numFmt w:val="lowerLetter"/>
      <w:lvlText w:val="%2"/>
      <w:lvlJc w:val="left"/>
      <w:pPr>
        <w:ind w:left="1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323E7C">
      <w:start w:val="1"/>
      <w:numFmt w:val="lowerRoman"/>
      <w:lvlText w:val="%3"/>
      <w:lvlJc w:val="left"/>
      <w:pPr>
        <w:ind w:left="1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2034A">
      <w:start w:val="1"/>
      <w:numFmt w:val="decimal"/>
      <w:lvlText w:val="%4"/>
      <w:lvlJc w:val="left"/>
      <w:pPr>
        <w:ind w:left="2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EE0D94">
      <w:start w:val="1"/>
      <w:numFmt w:val="lowerLetter"/>
      <w:lvlText w:val="%5"/>
      <w:lvlJc w:val="left"/>
      <w:pPr>
        <w:ind w:left="3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3AF374">
      <w:start w:val="1"/>
      <w:numFmt w:val="lowerRoman"/>
      <w:lvlText w:val="%6"/>
      <w:lvlJc w:val="left"/>
      <w:pPr>
        <w:ind w:left="4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26440A">
      <w:start w:val="1"/>
      <w:numFmt w:val="decimal"/>
      <w:lvlText w:val="%7"/>
      <w:lvlJc w:val="left"/>
      <w:pPr>
        <w:ind w:left="4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6BC92">
      <w:start w:val="1"/>
      <w:numFmt w:val="lowerLetter"/>
      <w:lvlText w:val="%8"/>
      <w:lvlJc w:val="left"/>
      <w:pPr>
        <w:ind w:left="5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6CFC0C">
      <w:start w:val="1"/>
      <w:numFmt w:val="lowerRoman"/>
      <w:lvlText w:val="%9"/>
      <w:lvlJc w:val="left"/>
      <w:pPr>
        <w:ind w:left="6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33E60B6"/>
    <w:multiLevelType w:val="hybridMultilevel"/>
    <w:tmpl w:val="C3C4A846"/>
    <w:lvl w:ilvl="0" w:tplc="0C50C35E">
      <w:start w:val="1"/>
      <w:numFmt w:val="bullet"/>
      <w:lvlText w:val="-"/>
      <w:lvlJc w:val="left"/>
      <w:pPr>
        <w:ind w:left="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68D326">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00B1FA">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2C4820">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A48D3C">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344A2C">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7E8B48">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ADFE4">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30A45E">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27"/>
    <w:rsid w:val="004F50B5"/>
    <w:rsid w:val="00927BA1"/>
    <w:rsid w:val="00F37C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9E2B7-4063-45BD-AFE2-B6D072A6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56.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Kouchchad Mohamed EDA KOUMO</dc:creator>
  <cp:keywords/>
  <cp:lastModifiedBy>Kouchchad Mohamed EDA KOUMO</cp:lastModifiedBy>
  <cp:revision>2</cp:revision>
  <dcterms:created xsi:type="dcterms:W3CDTF">2018-05-17T10:41:00Z</dcterms:created>
  <dcterms:modified xsi:type="dcterms:W3CDTF">2018-05-17T10:41:00Z</dcterms:modified>
</cp:coreProperties>
</file>